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附件1</w:t>
      </w:r>
    </w:p>
    <w:p>
      <w:pPr>
        <w:pStyle w:val="2"/>
        <w:jc w:val="center"/>
        <w:rPr>
          <w:rFonts w:hint="eastAsia" w:ascii="黑体" w:hAnsi="黑体" w:eastAsia="黑体" w:cs="黑体"/>
          <w:b/>
          <w:bCs w:val="0"/>
          <w:sz w:val="36"/>
          <w:szCs w:val="36"/>
          <w:highlight w:val="none"/>
          <w:lang w:val="en-US" w:eastAsia="zh-CN"/>
        </w:rPr>
      </w:pPr>
      <w:r>
        <w:rPr>
          <w:rFonts w:hint="eastAsia" w:ascii="宋体" w:hAnsi="宋体" w:eastAsia="宋体" w:cs="宋体"/>
          <w:b/>
          <w:bCs/>
          <w:kern w:val="0"/>
          <w:sz w:val="36"/>
          <w:szCs w:val="36"/>
          <w:highlight w:val="none"/>
          <w:lang w:val="en-US" w:eastAsia="zh-CN" w:bidi="ar-SA"/>
        </w:rPr>
        <w:t>南华大学附属第一医院非事业编制岗位、计划及要求一览表</w:t>
      </w:r>
    </w:p>
    <w:tbl>
      <w:tblPr>
        <w:tblStyle w:val="6"/>
        <w:tblW w:w="13979"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1580"/>
        <w:gridCol w:w="840"/>
        <w:gridCol w:w="880"/>
        <w:gridCol w:w="2139"/>
        <w:gridCol w:w="4500"/>
        <w:gridCol w:w="1634"/>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科室</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岗位</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计划数</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学历学位</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专业</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年龄</w:t>
            </w:r>
          </w:p>
        </w:tc>
        <w:tc>
          <w:tcPr>
            <w:tcW w:w="1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英语要求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内分泌代谢科</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医师</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内科学（内分泌代谢方向、心血管内科方向）、老年医学</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32岁及以下</w:t>
            </w:r>
          </w:p>
        </w:tc>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CET4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口腔科</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（住院部）</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医师1</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口腔医学</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32岁及以下</w:t>
            </w:r>
          </w:p>
        </w:tc>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CET4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口腔科</w:t>
            </w:r>
          </w:p>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（门诊）</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医师2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硕士研究生及以上</w:t>
            </w:r>
          </w:p>
        </w:tc>
        <w:tc>
          <w:tcPr>
            <w:tcW w:w="4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口腔医学（儿童牙病方向）</w:t>
            </w:r>
          </w:p>
        </w:tc>
        <w:tc>
          <w:tcPr>
            <w:tcW w:w="16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32岁及以下</w:t>
            </w:r>
          </w:p>
        </w:tc>
        <w:tc>
          <w:tcPr>
            <w:tcW w:w="17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CET4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397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1.上述岗位要求第一学历为全日制一本，均不含专升本、专起本、专套本；2.医师岗位要求第一学历为临床医学专业方向或招聘岗位专业方向；3.医师岗位需具备相应专业执业范围的医师资格证及对应岗位要求专业（或研究方向）的规培合格证，具备主治医师及以上专业技术资格者对规培不作要求；3.CET4级指大学英语4级425分及以上，或同等英语水平；4.年龄：32岁及以下（1991年1月1日以后出生），中级职称年龄放宽至35岁及以下，副高职称年龄放宽至45岁及以下，正高职称年龄放宽至50岁及以下。</w:t>
            </w:r>
          </w:p>
        </w:tc>
      </w:tr>
    </w:tbl>
    <w:p>
      <w:pPr>
        <w:pStyle w:val="2"/>
        <w:rPr>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ingFang SC">
    <w:altName w:val="宋体"/>
    <w:panose1 w:val="020B0400000000000000"/>
    <w:charset w:val="86"/>
    <w:family w:val="auto"/>
    <w:pitch w:val="default"/>
    <w:sig w:usb0="00000000" w:usb1="00000000" w:usb2="00000017" w:usb3="00000000" w:csb0="00040001" w:csb1="00000000"/>
  </w:font>
  <w:font w:name="PingFang SC Semibold">
    <w:altName w:val="宋体"/>
    <w:panose1 w:val="020B0400000000000000"/>
    <w:charset w:val="86"/>
    <w:family w:val="auto"/>
    <w:pitch w:val="default"/>
    <w:sig w:usb0="00000000" w:usb1="00000000"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MDJmYTdjNGJhNjllOWRiODJkMmZiZTNlZTVlN2IifQ=="/>
  </w:docVars>
  <w:rsids>
    <w:rsidRoot w:val="FFF752A7"/>
    <w:rsid w:val="07E17B6F"/>
    <w:rsid w:val="09C865CE"/>
    <w:rsid w:val="4F503D74"/>
    <w:rsid w:val="50ED18E5"/>
    <w:rsid w:val="5EE410B6"/>
    <w:rsid w:val="67552E21"/>
    <w:rsid w:val="7ED674E8"/>
    <w:rsid w:val="7F2B7D8C"/>
    <w:rsid w:val="BFF7F6FE"/>
    <w:rsid w:val="FFF75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2023-12-24T07:27:00Z</dcterms:created>
  <dc:creator>little jane</dc:creator>
  <cp:lastModifiedBy>little jane</cp:lastModifiedBy>
  <cp:lastPrinted>2024-01-05T03:04:00Z</cp:lastPrinted>
  <dcterms:modified xsi:type="dcterms:W3CDTF">2024-01-09T04:11:36Z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07FE51820A1F464F803EF1F80513F72A_13</vt:lpwstr>
  </property>
</Properties>
</file>